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B2F" w:rsidRDefault="00E27DD3">
      <w:pPr>
        <w:jc w:val="center"/>
        <w:rPr>
          <w:rFonts w:ascii="Times New Roman" w:hAnsi="Times New Roman"/>
          <w:b/>
          <w:sz w:val="28"/>
          <w:szCs w:val="28"/>
        </w:rPr>
      </w:pPr>
      <w:bookmarkStart w:id="0" w:name="_GoBack"/>
      <w:bookmarkEnd w:id="0"/>
      <w:r>
        <w:rPr>
          <w:rFonts w:ascii="Times New Roman" w:hAnsi="Times New Roman"/>
          <w:b/>
          <w:sz w:val="28"/>
          <w:szCs w:val="28"/>
        </w:rPr>
        <w:t>PASKAIDROJUMA RAKSTS</w:t>
      </w:r>
    </w:p>
    <w:p w:rsidR="00DA1B2F" w:rsidRDefault="00DA1B2F">
      <w:pPr>
        <w:jc w:val="center"/>
        <w:rPr>
          <w:rFonts w:ascii="Times New Roman" w:hAnsi="Times New Roman"/>
          <w:b/>
          <w:sz w:val="28"/>
          <w:szCs w:val="28"/>
        </w:rPr>
      </w:pPr>
    </w:p>
    <w:p w:rsidR="00DA1B2F" w:rsidRDefault="00E27DD3">
      <w:pPr>
        <w:spacing w:before="120" w:after="0" w:line="240" w:lineRule="auto"/>
        <w:rPr>
          <w:rFonts w:ascii="Times New Roman" w:hAnsi="Times New Roman"/>
          <w:b/>
          <w:sz w:val="24"/>
          <w:szCs w:val="24"/>
        </w:rPr>
      </w:pPr>
      <w:r>
        <w:rPr>
          <w:rFonts w:ascii="Times New Roman" w:hAnsi="Times New Roman"/>
          <w:b/>
          <w:sz w:val="24"/>
          <w:szCs w:val="24"/>
        </w:rPr>
        <w:t>Teritorijas atrašanās vieta un raksturojums</w:t>
      </w:r>
    </w:p>
    <w:p w:rsidR="00DA1B2F" w:rsidRDefault="00E27DD3">
      <w:pPr>
        <w:spacing w:before="120" w:after="0" w:line="240" w:lineRule="auto"/>
        <w:rPr>
          <w:rFonts w:ascii="Times New Roman" w:hAnsi="Times New Roman"/>
          <w:sz w:val="24"/>
          <w:szCs w:val="24"/>
        </w:rPr>
      </w:pPr>
      <w:r>
        <w:rPr>
          <w:rFonts w:ascii="Times New Roman" w:hAnsi="Times New Roman"/>
          <w:sz w:val="24"/>
          <w:szCs w:val="24"/>
        </w:rPr>
        <w:tab/>
        <w:t>Projektējamais rotaļu laukums atrodas Daugavpilī, Cietokšņa teritorijā, Aleksandra ielā 4, ēkas pamatu vietā.</w:t>
      </w:r>
    </w:p>
    <w:p w:rsidR="00DA1B2F" w:rsidRDefault="00E27DD3">
      <w:pPr>
        <w:spacing w:before="120"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Teritorija bija piegružota un piesārņota, pašlaik no teritorijas ir izvesti būvgruži un atkritumi, reljefs ir izlīdzināts, laukuma segums uz doto brīdi- smiltis.</w:t>
      </w:r>
    </w:p>
    <w:p w:rsidR="00DA1B2F" w:rsidRDefault="00E27DD3">
      <w:pPr>
        <w:spacing w:before="120" w:after="0" w:line="240" w:lineRule="auto"/>
        <w:rPr>
          <w:rFonts w:ascii="Times New Roman" w:hAnsi="Times New Roman"/>
          <w:b/>
          <w:sz w:val="24"/>
          <w:szCs w:val="24"/>
        </w:rPr>
      </w:pPr>
      <w:r>
        <w:rPr>
          <w:rFonts w:ascii="Times New Roman" w:hAnsi="Times New Roman"/>
          <w:b/>
          <w:sz w:val="24"/>
          <w:szCs w:val="24"/>
        </w:rPr>
        <w:t>Rotaļu laukuma izbūves un labiekārtojuma risinājumi</w:t>
      </w:r>
    </w:p>
    <w:p w:rsidR="00DA1B2F" w:rsidRDefault="00E27DD3">
      <w:pPr>
        <w:spacing w:before="120" w:after="0" w:line="240" w:lineRule="auto"/>
        <w:jc w:val="both"/>
      </w:pPr>
      <w:r>
        <w:rPr>
          <w:rFonts w:ascii="Times New Roman" w:hAnsi="Times New Roman"/>
          <w:b/>
          <w:sz w:val="24"/>
          <w:szCs w:val="24"/>
        </w:rPr>
        <w:tab/>
      </w:r>
      <w:r>
        <w:rPr>
          <w:rFonts w:ascii="Times New Roman" w:hAnsi="Times New Roman"/>
          <w:sz w:val="24"/>
          <w:szCs w:val="24"/>
        </w:rPr>
        <w:t>Piekļūšana rotaļu laukuma teritorijā pare</w:t>
      </w:r>
      <w:r>
        <w:rPr>
          <w:rFonts w:ascii="Times New Roman" w:hAnsi="Times New Roman"/>
          <w:sz w:val="24"/>
          <w:szCs w:val="24"/>
        </w:rPr>
        <w:t>dzēta vienā vietā un ir vērsta pret esošo automašīnu stāvvietu un pagalmu. Rotaļu laukuma teritorijā ir nodrošināta piekļūšana cilvēkiem ar īpašām vajadzībām.</w:t>
      </w:r>
    </w:p>
    <w:p w:rsidR="00DA1B2F" w:rsidRDefault="00E27DD3">
      <w:pPr>
        <w:spacing w:before="120" w:after="0" w:line="240" w:lineRule="auto"/>
        <w:jc w:val="both"/>
        <w:rPr>
          <w:rFonts w:ascii="Times New Roman" w:hAnsi="Times New Roman"/>
          <w:sz w:val="24"/>
          <w:szCs w:val="24"/>
        </w:rPr>
      </w:pPr>
      <w:r>
        <w:rPr>
          <w:rFonts w:ascii="Times New Roman" w:hAnsi="Times New Roman"/>
          <w:sz w:val="24"/>
          <w:szCs w:val="24"/>
        </w:rPr>
        <w:tab/>
        <w:t>Ēkas pamatiem rotaļu laukuma teritorijā ir norobežojošā funkcija. Pamatu augstums ir no 50cm Ale</w:t>
      </w:r>
      <w:r>
        <w:rPr>
          <w:rFonts w:ascii="Times New Roman" w:hAnsi="Times New Roman"/>
          <w:sz w:val="24"/>
          <w:szCs w:val="24"/>
        </w:rPr>
        <w:t xml:space="preserve">ksandra ielas pusē, un līdz 80cm Hospitāļu ielas pusē. </w:t>
      </w:r>
    </w:p>
    <w:p w:rsidR="00DA1B2F" w:rsidRDefault="00E27DD3">
      <w:pPr>
        <w:spacing w:before="120" w:after="0" w:line="240" w:lineRule="auto"/>
        <w:jc w:val="both"/>
        <w:rPr>
          <w:rFonts w:ascii="Times New Roman" w:hAnsi="Times New Roman"/>
          <w:sz w:val="24"/>
          <w:szCs w:val="24"/>
        </w:rPr>
      </w:pPr>
      <w:r>
        <w:rPr>
          <w:rFonts w:ascii="Times New Roman" w:hAnsi="Times New Roman"/>
          <w:sz w:val="24"/>
          <w:szCs w:val="24"/>
        </w:rPr>
        <w:tab/>
        <w:t>Par nulles atzīmi tiek pieņemta pamata virsmas augstuma atzīme no Hospitāļa ielas puses. Rotaļu laukuma atzīme tiek pieņemta -0.2 m no nulles atzīmes.</w:t>
      </w:r>
    </w:p>
    <w:p w:rsidR="00DA1B2F" w:rsidRDefault="00E27DD3">
      <w:pPr>
        <w:spacing w:before="120" w:after="0" w:line="240" w:lineRule="auto"/>
        <w:jc w:val="both"/>
        <w:rPr>
          <w:rFonts w:ascii="Times New Roman" w:hAnsi="Times New Roman"/>
          <w:sz w:val="24"/>
          <w:szCs w:val="24"/>
        </w:rPr>
      </w:pPr>
      <w:r>
        <w:rPr>
          <w:rFonts w:ascii="Times New Roman" w:hAnsi="Times New Roman"/>
          <w:sz w:val="24"/>
          <w:szCs w:val="24"/>
        </w:rPr>
        <w:tab/>
        <w:t xml:space="preserve">Rotaļu laukuma teritorija tiek sadalīta četrās </w:t>
      </w:r>
      <w:r>
        <w:rPr>
          <w:rFonts w:ascii="Times New Roman" w:hAnsi="Times New Roman"/>
          <w:sz w:val="24"/>
          <w:szCs w:val="24"/>
        </w:rPr>
        <w:t>zonās: bērnu rotaļu zona, sporta aktivitāšu zona, kāpelēšanas un balansēšanas zona un šūpoļu zona. Katrā zonā atrodas aprīkojums, kas atbilsts zonējuma tematikai. Piegādātajām aprīkojumam jāatbilst standartam LVS EN 1176 par “Spēļu laukumu aprīkojumu drošī</w:t>
      </w:r>
      <w:r>
        <w:rPr>
          <w:rFonts w:ascii="Times New Roman" w:hAnsi="Times New Roman"/>
          <w:sz w:val="24"/>
          <w:szCs w:val="24"/>
        </w:rPr>
        <w:t>bu”. Piegādāto rotaļu iekārtu atbilstību standartam jāpierāda ar neatkarīgās sertificēšanas institūcijas izsniegto sertifikātu (TÜV sertifikāts vai ekvivalents).</w:t>
      </w:r>
    </w:p>
    <w:p w:rsidR="00DA1B2F" w:rsidRDefault="00E27DD3">
      <w:pPr>
        <w:spacing w:before="120" w:after="0" w:line="240" w:lineRule="auto"/>
        <w:jc w:val="both"/>
      </w:pPr>
      <w:r>
        <w:rPr>
          <w:rFonts w:ascii="Times New Roman" w:hAnsi="Times New Roman"/>
          <w:sz w:val="24"/>
          <w:szCs w:val="24"/>
        </w:rPr>
        <w:tab/>
        <w:t xml:space="preserve">Rotaļu laukuma zonās ir paredzēts sintētiskais </w:t>
      </w:r>
      <w:r>
        <w:rPr>
          <w:rFonts w:ascii="Times New Roman" w:hAnsi="Times New Roman"/>
          <w:bCs/>
          <w:sz w:val="24"/>
          <w:szCs w:val="24"/>
        </w:rPr>
        <w:t>segums, kuru veido SBR granulu flīzes ar izmēr</w:t>
      </w:r>
      <w:r>
        <w:rPr>
          <w:rFonts w:ascii="Times New Roman" w:hAnsi="Times New Roman"/>
          <w:bCs/>
          <w:sz w:val="24"/>
          <w:szCs w:val="24"/>
        </w:rPr>
        <w:t xml:space="preserve">u 0.5m x 0.5m un biezumu - 40mm. Iekārtu drošības zonās seguma biezumam jāatbilst attiecīgās iekārtas krišanas augstuma prasībām (skatīt darba apjomu tabulu), kas </w:t>
      </w:r>
      <w:r>
        <w:rPr>
          <w:rFonts w:ascii="Times New Roman" w:hAnsi="Times New Roman"/>
          <w:sz w:val="24"/>
          <w:szCs w:val="24"/>
        </w:rPr>
        <w:t>tiek sasniedzams ar gumijotā seguma nepieciešamo sabiezinājumu uz leju.</w:t>
      </w:r>
      <w:r>
        <w:rPr>
          <w:rFonts w:ascii="Times New Roman" w:hAnsi="Times New Roman"/>
          <w:bCs/>
          <w:sz w:val="24"/>
          <w:szCs w:val="24"/>
        </w:rPr>
        <w:t xml:space="preserve"> </w:t>
      </w:r>
    </w:p>
    <w:p w:rsidR="00DA1B2F" w:rsidRDefault="00E27DD3">
      <w:pPr>
        <w:spacing w:before="120" w:after="0" w:line="240" w:lineRule="auto"/>
        <w:jc w:val="both"/>
        <w:rPr>
          <w:rFonts w:ascii="Times New Roman" w:hAnsi="Times New Roman"/>
          <w:sz w:val="24"/>
          <w:szCs w:val="24"/>
        </w:rPr>
      </w:pPr>
      <w:r>
        <w:rPr>
          <w:rFonts w:ascii="Times New Roman" w:hAnsi="Times New Roman"/>
          <w:sz w:val="24"/>
          <w:szCs w:val="24"/>
        </w:rPr>
        <w:t>Segumam jāatbilst LV</w:t>
      </w:r>
      <w:r>
        <w:rPr>
          <w:rFonts w:ascii="Times New Roman" w:hAnsi="Times New Roman"/>
          <w:sz w:val="24"/>
          <w:szCs w:val="24"/>
        </w:rPr>
        <w:t>S EN 1177 par „Triecienus slāpējošā spēļu laukumu virsmas”. Par piegādātā gumijotā seguma atbilstību standartam LVS EN 1177 par „Triecienus slāpējošā spēļu laukumu virsmas” jāpierāda ar neatkarīgās sertificēšanas institūcijas izsniegto sertifikātu (TÜV ser</w:t>
      </w:r>
      <w:r>
        <w:rPr>
          <w:rFonts w:ascii="Times New Roman" w:hAnsi="Times New Roman"/>
          <w:sz w:val="24"/>
          <w:szCs w:val="24"/>
        </w:rPr>
        <w:t>tifikāts vai ekvivalents).</w:t>
      </w:r>
    </w:p>
    <w:p w:rsidR="00DA1B2F" w:rsidRDefault="00E27DD3">
      <w:pPr>
        <w:spacing w:before="120" w:after="0" w:line="240" w:lineRule="auto"/>
        <w:jc w:val="both"/>
      </w:pPr>
      <w:r>
        <w:rPr>
          <w:rFonts w:ascii="Times New Roman" w:hAnsi="Times New Roman"/>
          <w:bCs/>
          <w:sz w:val="24"/>
          <w:szCs w:val="24"/>
        </w:rPr>
        <w:tab/>
        <w:t>Gājēju ietves rotaļu laukumā –</w:t>
      </w:r>
      <w:r>
        <w:rPr>
          <w:rFonts w:ascii="Times New Roman" w:hAnsi="Times New Roman"/>
          <w:sz w:val="24"/>
          <w:szCs w:val="24"/>
        </w:rPr>
        <w:t xml:space="preserve"> no grants-smilts maisījuma, tās paredzēts norobežot ar betona ietvju apmalēm.</w:t>
      </w:r>
    </w:p>
    <w:p w:rsidR="00DA1B2F" w:rsidRDefault="00E27DD3">
      <w:pPr>
        <w:spacing w:before="120" w:after="0" w:line="240" w:lineRule="auto"/>
        <w:jc w:val="both"/>
        <w:rPr>
          <w:rFonts w:ascii="Times New Roman" w:hAnsi="Times New Roman"/>
          <w:sz w:val="24"/>
          <w:szCs w:val="24"/>
        </w:rPr>
      </w:pPr>
      <w:r>
        <w:rPr>
          <w:rFonts w:ascii="Times New Roman" w:hAnsi="Times New Roman"/>
          <w:sz w:val="24"/>
          <w:szCs w:val="24"/>
        </w:rPr>
        <w:tab/>
        <w:t>Gar pamatiem no iekšpuses visā rotaļu laukuma perimetrā paredzēti stādījumi, kas kopumā veido dzīvžogu.</w:t>
      </w:r>
    </w:p>
    <w:p w:rsidR="00DA1B2F" w:rsidRDefault="00E27DD3">
      <w:pPr>
        <w:spacing w:before="120" w:after="0" w:line="240" w:lineRule="auto"/>
        <w:jc w:val="both"/>
      </w:pPr>
      <w:r>
        <w:rPr>
          <w:rFonts w:ascii="Times New Roman" w:hAnsi="Times New Roman"/>
          <w:sz w:val="24"/>
          <w:szCs w:val="24"/>
        </w:rPr>
        <w:tab/>
      </w:r>
      <w:r>
        <w:rPr>
          <w:rFonts w:ascii="Times New Roman" w:hAnsi="Times New Roman"/>
          <w:b/>
          <w:sz w:val="24"/>
          <w:szCs w:val="24"/>
        </w:rPr>
        <w:t>Garantijas la</w:t>
      </w:r>
      <w:r>
        <w:rPr>
          <w:rFonts w:ascii="Times New Roman" w:hAnsi="Times New Roman"/>
          <w:b/>
          <w:sz w:val="24"/>
          <w:szCs w:val="24"/>
        </w:rPr>
        <w:t>iks</w:t>
      </w:r>
    </w:p>
    <w:p w:rsidR="00DA1B2F" w:rsidRDefault="00E27DD3">
      <w:pPr>
        <w:spacing w:before="120" w:after="0" w:line="240" w:lineRule="auto"/>
        <w:jc w:val="both"/>
        <w:rPr>
          <w:rFonts w:ascii="Times New Roman" w:hAnsi="Times New Roman"/>
          <w:sz w:val="24"/>
          <w:szCs w:val="24"/>
        </w:rPr>
      </w:pPr>
      <w:r>
        <w:rPr>
          <w:rFonts w:ascii="Times New Roman" w:hAnsi="Times New Roman"/>
          <w:sz w:val="24"/>
          <w:szCs w:val="24"/>
        </w:rPr>
        <w:tab/>
        <w:t>Garantijas laiks uz visu aprīkojumu, segumiem un veiktajiem darbiem-5.gadi.</w:t>
      </w:r>
    </w:p>
    <w:p w:rsidR="00DA1B2F" w:rsidRDefault="00E27DD3">
      <w:pPr>
        <w:spacing w:after="0"/>
        <w:jc w:val="both"/>
      </w:pPr>
      <w:r>
        <w:rPr>
          <w:rFonts w:ascii="Times New Roman" w:hAnsi="Times New Roman"/>
          <w:sz w:val="24"/>
          <w:szCs w:val="24"/>
        </w:rPr>
        <w:t xml:space="preserve"> </w:t>
      </w:r>
      <w:r>
        <w:rPr>
          <w:rFonts w:ascii="Times New Roman" w:eastAsia="Times New Roman" w:hAnsi="Times New Roman"/>
          <w:b/>
          <w:bCs/>
          <w:sz w:val="24"/>
          <w:szCs w:val="24"/>
        </w:rPr>
        <w:t>Sastādīja:</w:t>
      </w:r>
    </w:p>
    <w:p w:rsidR="00DA1B2F" w:rsidRDefault="00E27DD3">
      <w:pPr>
        <w:suppressAutoHyphens w:val="0"/>
        <w:spacing w:after="0"/>
        <w:jc w:val="both"/>
        <w:rPr>
          <w:rFonts w:ascii="Times New Roman" w:eastAsia="Times New Roman" w:hAnsi="Times New Roman"/>
        </w:rPr>
      </w:pPr>
      <w:r>
        <w:rPr>
          <w:rFonts w:ascii="Times New Roman" w:eastAsia="Times New Roman" w:hAnsi="Times New Roman"/>
        </w:rPr>
        <w:t>Daugavpils pilsētas pašvaldības iestādes</w:t>
      </w:r>
    </w:p>
    <w:p w:rsidR="00DA1B2F" w:rsidRDefault="00E27DD3">
      <w:pPr>
        <w:suppressAutoHyphens w:val="0"/>
        <w:spacing w:after="0"/>
        <w:jc w:val="both"/>
        <w:rPr>
          <w:rFonts w:ascii="Times New Roman" w:eastAsia="Times New Roman" w:hAnsi="Times New Roman"/>
        </w:rPr>
      </w:pPr>
      <w:r>
        <w:rPr>
          <w:rFonts w:ascii="Times New Roman" w:eastAsia="Times New Roman" w:hAnsi="Times New Roman"/>
        </w:rPr>
        <w:t>“Komunālās saimniecības pārvalde”</w:t>
      </w:r>
    </w:p>
    <w:p w:rsidR="00DA1B2F" w:rsidRDefault="00E27DD3">
      <w:pPr>
        <w:suppressAutoHyphens w:val="0"/>
        <w:spacing w:after="0"/>
        <w:jc w:val="both"/>
        <w:rPr>
          <w:rFonts w:ascii="Times New Roman" w:eastAsia="Times New Roman" w:hAnsi="Times New Roman"/>
        </w:rPr>
      </w:pPr>
      <w:r>
        <w:rPr>
          <w:rFonts w:ascii="Times New Roman" w:eastAsia="Times New Roman" w:hAnsi="Times New Roman"/>
        </w:rPr>
        <w:t>komunālinženiere</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t xml:space="preserve">                       O.Grigorjeva</w:t>
      </w:r>
    </w:p>
    <w:p w:rsidR="00DA1B2F" w:rsidRDefault="00E27DD3">
      <w:pPr>
        <w:suppressAutoHyphens w:val="0"/>
        <w:spacing w:after="0"/>
        <w:jc w:val="both"/>
        <w:rPr>
          <w:rFonts w:ascii="Times New Roman" w:eastAsia="Times New Roman" w:hAnsi="Times New Roman"/>
          <w:b/>
          <w:iCs/>
        </w:rPr>
      </w:pPr>
      <w:r>
        <w:rPr>
          <w:rFonts w:ascii="Times New Roman" w:eastAsia="Times New Roman" w:hAnsi="Times New Roman"/>
          <w:b/>
          <w:iCs/>
        </w:rPr>
        <w:t>Pārbadīja:</w:t>
      </w:r>
    </w:p>
    <w:p w:rsidR="00DA1B2F" w:rsidRDefault="00E27DD3">
      <w:pPr>
        <w:suppressAutoHyphens w:val="0"/>
        <w:spacing w:after="0"/>
        <w:jc w:val="both"/>
        <w:rPr>
          <w:rFonts w:ascii="Times New Roman" w:eastAsia="Times New Roman" w:hAnsi="Times New Roman"/>
        </w:rPr>
      </w:pPr>
      <w:r>
        <w:rPr>
          <w:rFonts w:ascii="Times New Roman" w:eastAsia="Times New Roman" w:hAnsi="Times New Roman"/>
        </w:rPr>
        <w:t>Daugavpils pilsētas</w:t>
      </w:r>
      <w:r>
        <w:rPr>
          <w:rFonts w:ascii="Times New Roman" w:eastAsia="Times New Roman" w:hAnsi="Times New Roman"/>
        </w:rPr>
        <w:t xml:space="preserve"> pašvaldības iestādes</w:t>
      </w:r>
    </w:p>
    <w:p w:rsidR="00DA1B2F" w:rsidRDefault="00E27DD3">
      <w:pPr>
        <w:suppressAutoHyphens w:val="0"/>
        <w:spacing w:after="0"/>
        <w:jc w:val="both"/>
        <w:rPr>
          <w:rFonts w:ascii="Times New Roman" w:eastAsia="Times New Roman" w:hAnsi="Times New Roman"/>
        </w:rPr>
      </w:pPr>
      <w:r>
        <w:rPr>
          <w:rFonts w:ascii="Times New Roman" w:eastAsia="Times New Roman" w:hAnsi="Times New Roman"/>
        </w:rPr>
        <w:t>“Komunālās saimniecības pārvalde”</w:t>
      </w:r>
    </w:p>
    <w:p w:rsidR="00DA1B2F" w:rsidRDefault="00E27DD3">
      <w:pPr>
        <w:suppressAutoHyphens w:val="0"/>
        <w:spacing w:after="0"/>
        <w:jc w:val="both"/>
      </w:pPr>
      <w:r>
        <w:rPr>
          <w:rFonts w:ascii="Times New Roman" w:eastAsia="Times New Roman" w:hAnsi="Times New Roman"/>
        </w:rPr>
        <w:t>Vadītāja vietnieks                                                                                                                         V.Semoņenko</w:t>
      </w:r>
    </w:p>
    <w:sectPr w:rsidR="00DA1B2F">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DD3" w:rsidRDefault="00E27DD3">
      <w:pPr>
        <w:spacing w:after="0" w:line="240" w:lineRule="auto"/>
      </w:pPr>
      <w:r>
        <w:separator/>
      </w:r>
    </w:p>
  </w:endnote>
  <w:endnote w:type="continuationSeparator" w:id="0">
    <w:p w:rsidR="00E27DD3" w:rsidRDefault="00E27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DD3" w:rsidRDefault="00E27DD3">
      <w:pPr>
        <w:spacing w:after="0" w:line="240" w:lineRule="auto"/>
      </w:pPr>
      <w:r>
        <w:rPr>
          <w:color w:val="000000"/>
        </w:rPr>
        <w:separator/>
      </w:r>
    </w:p>
  </w:footnote>
  <w:footnote w:type="continuationSeparator" w:id="0">
    <w:p w:rsidR="00E27DD3" w:rsidRDefault="00E27D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
  <w:rsids>
    <w:rsidRoot w:val="00DA1B2F"/>
    <w:rsid w:val="00DA1B2F"/>
    <w:rsid w:val="00E27DD3"/>
    <w:rsid w:val="00F754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736EC1-5215-4BF1-8E84-2E3C01406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pPr>
      <w:spacing w:after="0" w:line="240" w:lineRule="auto"/>
    </w:pPr>
    <w:rPr>
      <w:rFonts w:ascii="Segoe UI" w:hAnsi="Segoe UI" w:cs="Segoe UI"/>
      <w:sz w:val="18"/>
      <w:szCs w:val="18"/>
    </w:rPr>
  </w:style>
  <w:style w:type="character" w:customStyle="1" w:styleId="a4">
    <w:name w:val="Текст выноски Знак"/>
    <w:basedOn w:val="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1713</Words>
  <Characters>977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Komunal Komunal</dc:creator>
  <dc:description/>
  <cp:lastModifiedBy>Komunal Komunal</cp:lastModifiedBy>
  <cp:revision>2</cp:revision>
  <cp:lastPrinted>2016-04-11T12:42:00Z</cp:lastPrinted>
  <dcterms:created xsi:type="dcterms:W3CDTF">2016-04-22T06:45:00Z</dcterms:created>
  <dcterms:modified xsi:type="dcterms:W3CDTF">2016-04-22T06:45:00Z</dcterms:modified>
</cp:coreProperties>
</file>